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617EC"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Nový dokument</w:t>
      </w:r>
      <w:r w:rsidRPr="00DB6369">
        <w:rPr>
          <w:rFonts w:ascii="Merriweather" w:eastAsia="Times New Roman" w:hAnsi="Merriweather" w:cs="Times New Roman"/>
          <w:color w:val="000000"/>
          <w:kern w:val="0"/>
          <w:sz w:val="29"/>
          <w:szCs w:val="29"/>
          <w:lang w:eastAsia="cs-CZ"/>
          <w14:ligatures w14:val="none"/>
        </w:rPr>
        <w:t> </w:t>
      </w:r>
      <w:proofErr w:type="spellStart"/>
      <w:r w:rsidRPr="00DB6369">
        <w:rPr>
          <w:rFonts w:ascii="Merriweather" w:eastAsia="Times New Roman" w:hAnsi="Merriweather" w:cs="Times New Roman"/>
          <w:b/>
          <w:bCs/>
          <w:i/>
          <w:iCs/>
          <w:color w:val="000000"/>
          <w:kern w:val="0"/>
          <w:sz w:val="29"/>
          <w:szCs w:val="29"/>
          <w:lang w:eastAsia="cs-CZ"/>
          <w14:ligatures w14:val="none"/>
        </w:rPr>
        <w:t>Fiducia</w:t>
      </w:r>
      <w:proofErr w:type="spellEnd"/>
      <w:r w:rsidRPr="00DB6369">
        <w:rPr>
          <w:rFonts w:ascii="Merriweather" w:eastAsia="Times New Roman" w:hAnsi="Merriweather" w:cs="Times New Roman"/>
          <w:b/>
          <w:bCs/>
          <w:i/>
          <w:iCs/>
          <w:color w:val="000000"/>
          <w:kern w:val="0"/>
          <w:sz w:val="29"/>
          <w:szCs w:val="29"/>
          <w:lang w:eastAsia="cs-CZ"/>
          <w14:ligatures w14:val="none"/>
        </w:rPr>
        <w:t xml:space="preserve"> </w:t>
      </w:r>
      <w:proofErr w:type="spellStart"/>
      <w:r w:rsidRPr="00DB6369">
        <w:rPr>
          <w:rFonts w:ascii="Merriweather" w:eastAsia="Times New Roman" w:hAnsi="Merriweather" w:cs="Times New Roman"/>
          <w:b/>
          <w:bCs/>
          <w:i/>
          <w:iCs/>
          <w:color w:val="000000"/>
          <w:kern w:val="0"/>
          <w:sz w:val="29"/>
          <w:szCs w:val="29"/>
          <w:lang w:eastAsia="cs-CZ"/>
          <w14:ligatures w14:val="none"/>
        </w:rPr>
        <w:t>supplicans</w:t>
      </w:r>
      <w:proofErr w:type="spellEnd"/>
    </w:p>
    <w:p w14:paraId="46E06A90"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18. prosince 2023 </w:t>
      </w:r>
      <w:r w:rsidRPr="00DB6369">
        <w:rPr>
          <w:rFonts w:ascii="Merriweather" w:eastAsia="Times New Roman" w:hAnsi="Merriweather" w:cs="Times New Roman"/>
          <w:color w:val="000000"/>
          <w:kern w:val="0"/>
          <w:sz w:val="29"/>
          <w:szCs w:val="29"/>
          <w:lang w:eastAsia="cs-CZ"/>
          <w14:ligatures w14:val="none"/>
        </w:rPr>
        <w:t>byla v Římě vydána deklarace </w:t>
      </w:r>
      <w:proofErr w:type="spellStart"/>
      <w:r w:rsidRPr="00DB6369">
        <w:rPr>
          <w:rFonts w:ascii="Merriweather" w:eastAsia="Times New Roman" w:hAnsi="Merriweather" w:cs="Times New Roman"/>
          <w:b/>
          <w:bCs/>
          <w:i/>
          <w:iCs/>
          <w:color w:val="000000"/>
          <w:kern w:val="0"/>
          <w:sz w:val="29"/>
          <w:szCs w:val="29"/>
          <w:lang w:eastAsia="cs-CZ"/>
          <w14:ligatures w14:val="none"/>
        </w:rPr>
        <w:t>Fiducia</w:t>
      </w:r>
      <w:proofErr w:type="spellEnd"/>
      <w:r w:rsidRPr="00DB6369">
        <w:rPr>
          <w:rFonts w:ascii="Merriweather" w:eastAsia="Times New Roman" w:hAnsi="Merriweather" w:cs="Times New Roman"/>
          <w:b/>
          <w:bCs/>
          <w:i/>
          <w:iCs/>
          <w:color w:val="000000"/>
          <w:kern w:val="0"/>
          <w:sz w:val="29"/>
          <w:szCs w:val="29"/>
          <w:lang w:eastAsia="cs-CZ"/>
          <w14:ligatures w14:val="none"/>
        </w:rPr>
        <w:t xml:space="preserve"> </w:t>
      </w:r>
      <w:proofErr w:type="spellStart"/>
      <w:r w:rsidRPr="00DB6369">
        <w:rPr>
          <w:rFonts w:ascii="Merriweather" w:eastAsia="Times New Roman" w:hAnsi="Merriweather" w:cs="Times New Roman"/>
          <w:b/>
          <w:bCs/>
          <w:i/>
          <w:iCs/>
          <w:color w:val="000000"/>
          <w:kern w:val="0"/>
          <w:sz w:val="29"/>
          <w:szCs w:val="29"/>
          <w:lang w:eastAsia="cs-CZ"/>
          <w14:ligatures w14:val="none"/>
        </w:rPr>
        <w:t>supplicans</w:t>
      </w:r>
      <w:proofErr w:type="spellEnd"/>
      <w:r w:rsidRPr="00DB6369">
        <w:rPr>
          <w:rFonts w:ascii="Merriweather" w:eastAsia="Times New Roman" w:hAnsi="Merriweather" w:cs="Times New Roman"/>
          <w:color w:val="000000"/>
          <w:kern w:val="0"/>
          <w:sz w:val="29"/>
          <w:szCs w:val="29"/>
          <w:lang w:eastAsia="cs-CZ"/>
          <w14:ligatures w14:val="none"/>
        </w:rPr>
        <w:t xml:space="preserve"> (prosící důvěra), která "umožňuje" žehnat párům stejného pohlaví. Deklaraci vydalo </w:t>
      </w:r>
      <w:proofErr w:type="spellStart"/>
      <w:r w:rsidRPr="00DB6369">
        <w:rPr>
          <w:rFonts w:ascii="Merriweather" w:eastAsia="Times New Roman" w:hAnsi="Merriweather" w:cs="Times New Roman"/>
          <w:color w:val="000000"/>
          <w:kern w:val="0"/>
          <w:sz w:val="29"/>
          <w:szCs w:val="29"/>
          <w:lang w:eastAsia="cs-CZ"/>
          <w14:ligatures w14:val="none"/>
        </w:rPr>
        <w:t>Dikasterium</w:t>
      </w:r>
      <w:proofErr w:type="spellEnd"/>
      <w:r w:rsidRPr="00DB6369">
        <w:rPr>
          <w:rFonts w:ascii="Merriweather" w:eastAsia="Times New Roman" w:hAnsi="Merriweather" w:cs="Times New Roman"/>
          <w:color w:val="000000"/>
          <w:kern w:val="0"/>
          <w:sz w:val="29"/>
          <w:szCs w:val="29"/>
          <w:lang w:eastAsia="cs-CZ"/>
          <w14:ligatures w14:val="none"/>
        </w:rPr>
        <w:t xml:space="preserve"> (dříve kongregace) pro nauku víry a schválil ji papež.</w:t>
      </w:r>
    </w:p>
    <w:p w14:paraId="2A64E823"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 xml:space="preserve">Deklarace se ovšem </w:t>
      </w:r>
      <w:proofErr w:type="gramStart"/>
      <w:r w:rsidRPr="00DB6369">
        <w:rPr>
          <w:rFonts w:ascii="Merriweather" w:eastAsia="Times New Roman" w:hAnsi="Merriweather" w:cs="Times New Roman"/>
          <w:b/>
          <w:bCs/>
          <w:color w:val="000000"/>
          <w:kern w:val="0"/>
          <w:sz w:val="29"/>
          <w:szCs w:val="29"/>
          <w:lang w:eastAsia="cs-CZ"/>
          <w14:ligatures w14:val="none"/>
        </w:rPr>
        <w:t>snaží</w:t>
      </w:r>
      <w:proofErr w:type="gramEnd"/>
      <w:r w:rsidRPr="00DB6369">
        <w:rPr>
          <w:rFonts w:ascii="Merriweather" w:eastAsia="Times New Roman" w:hAnsi="Merriweather" w:cs="Times New Roman"/>
          <w:b/>
          <w:bCs/>
          <w:color w:val="000000"/>
          <w:kern w:val="0"/>
          <w:sz w:val="29"/>
          <w:szCs w:val="29"/>
          <w:lang w:eastAsia="cs-CZ"/>
          <w14:ligatures w14:val="none"/>
        </w:rPr>
        <w:t xml:space="preserve"> o nemožné – spojit požehnání a hřích.</w:t>
      </w:r>
      <w:r w:rsidRPr="00DB6369">
        <w:rPr>
          <w:rFonts w:ascii="Merriweather" w:eastAsia="Times New Roman" w:hAnsi="Merriweather" w:cs="Times New Roman"/>
          <w:color w:val="000000"/>
          <w:kern w:val="0"/>
          <w:sz w:val="29"/>
          <w:szCs w:val="29"/>
          <w:lang w:eastAsia="cs-CZ"/>
          <w14:ligatures w14:val="none"/>
        </w:rPr>
        <w:t> To však skutečně není možné, protože pokud by tak nějaký kněz učinil, dopouští se svatokrádeže. Takže </w:t>
      </w:r>
      <w:r w:rsidRPr="00DB6369">
        <w:rPr>
          <w:rFonts w:ascii="Merriweather" w:eastAsia="Times New Roman" w:hAnsi="Merriweather" w:cs="Times New Roman"/>
          <w:b/>
          <w:bCs/>
          <w:color w:val="000000"/>
          <w:kern w:val="0"/>
          <w:sz w:val="29"/>
          <w:szCs w:val="29"/>
          <w:lang w:eastAsia="cs-CZ"/>
          <w14:ligatures w14:val="none"/>
        </w:rPr>
        <w:t>místo Božích milostí další hřích! </w:t>
      </w:r>
      <w:r w:rsidRPr="00DB6369">
        <w:rPr>
          <w:rFonts w:ascii="Merriweather" w:eastAsia="Times New Roman" w:hAnsi="Merriweather" w:cs="Times New Roman"/>
          <w:color w:val="000000"/>
          <w:kern w:val="0"/>
          <w:sz w:val="29"/>
          <w:szCs w:val="29"/>
          <w:lang w:eastAsia="cs-CZ"/>
          <w14:ligatures w14:val="none"/>
        </w:rPr>
        <w:t>Nedošlo tedy k udělení milostí, a naopak k hříchu sodomie přibyl hřích svatokrádeže. To je v naprostém rozporu s posláním Církve posvěcovat, a proto již mnohé biskupské konference světa tento dokument odmítly. A stále se k nim přidávají další.</w:t>
      </w:r>
    </w:p>
    <w:p w14:paraId="7C2A47AD"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Nebudeme se pouštět do podrobného rozboru dokumentu, nýbrž zdůrazníme základní skutečnosti, které jsou v dokumentu obsaženy, abychom viděli, nejen jak je nový dokument právně pochybný, nýbrž z hlediska věrouky a mravouky zcela nepřijatelný.</w:t>
      </w:r>
    </w:p>
    <w:p w14:paraId="7D0CA431"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34"/>
          <w:szCs w:val="34"/>
          <w:lang w:eastAsia="cs-CZ"/>
          <w14:ligatures w14:val="none"/>
        </w:rPr>
        <w:t>Požehnání:</w:t>
      </w:r>
    </w:p>
    <w:p w14:paraId="6903DED0"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Kněžské požehnání je svátostina. Jedná se tedy o úkon stanovený Církví, který uděluje příjemci pomáhající milost a jakožto úkon zbožnosti také rozmnožuje milost posvěcující. Když toto uvážíme, vidíme zcela jasně, že není možné žehnat tomu, kdo setrvává v těžce hříšném stavu (vztahu), který nehodlá opustit.</w:t>
      </w:r>
    </w:p>
    <w:p w14:paraId="5487CADF"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Svátostinou je každé kněžské požehnání</w:t>
      </w:r>
      <w:r w:rsidRPr="00DB6369">
        <w:rPr>
          <w:rFonts w:ascii="Merriweather" w:eastAsia="Times New Roman" w:hAnsi="Merriweather" w:cs="Times New Roman"/>
          <w:color w:val="000000"/>
          <w:kern w:val="0"/>
          <w:sz w:val="29"/>
          <w:szCs w:val="29"/>
          <w:lang w:eastAsia="cs-CZ"/>
          <w14:ligatures w14:val="none"/>
        </w:rPr>
        <w:t>. Není tedy rozhodující, zda k němu kněz užívá nějakého rituálu, nebo uděluje požehnání zpaměti. Není důležité, zda se jedná o veřejné, oficiální žehnání, nebo žehnání soukromé. Proto </w:t>
      </w:r>
      <w:r w:rsidRPr="00DB6369">
        <w:rPr>
          <w:rFonts w:ascii="Merriweather" w:eastAsia="Times New Roman" w:hAnsi="Merriweather" w:cs="Times New Roman"/>
          <w:b/>
          <w:bCs/>
          <w:color w:val="000000"/>
          <w:kern w:val="0"/>
          <w:sz w:val="29"/>
          <w:szCs w:val="29"/>
          <w:lang w:eastAsia="cs-CZ"/>
          <w14:ligatures w14:val="none"/>
        </w:rPr>
        <w:t>nelze přijmout</w:t>
      </w:r>
      <w:r w:rsidRPr="00DB6369">
        <w:rPr>
          <w:rFonts w:ascii="Merriweather" w:eastAsia="Times New Roman" w:hAnsi="Merriweather" w:cs="Times New Roman"/>
          <w:color w:val="000000"/>
          <w:kern w:val="0"/>
          <w:sz w:val="29"/>
          <w:szCs w:val="29"/>
          <w:lang w:eastAsia="cs-CZ"/>
          <w14:ligatures w14:val="none"/>
        </w:rPr>
        <w:t xml:space="preserve"> vyjádření </w:t>
      </w:r>
      <w:proofErr w:type="spellStart"/>
      <w:r w:rsidRPr="00DB6369">
        <w:rPr>
          <w:rFonts w:ascii="Merriweather" w:eastAsia="Times New Roman" w:hAnsi="Merriweather" w:cs="Times New Roman"/>
          <w:color w:val="000000"/>
          <w:kern w:val="0"/>
          <w:sz w:val="29"/>
          <w:szCs w:val="29"/>
          <w:lang w:eastAsia="cs-CZ"/>
          <w14:ligatures w14:val="none"/>
        </w:rPr>
        <w:t>Dikasteria</w:t>
      </w:r>
      <w:proofErr w:type="spellEnd"/>
      <w:r w:rsidRPr="00DB6369">
        <w:rPr>
          <w:rFonts w:ascii="Merriweather" w:eastAsia="Times New Roman" w:hAnsi="Merriweather" w:cs="Times New Roman"/>
          <w:color w:val="000000"/>
          <w:kern w:val="0"/>
          <w:sz w:val="29"/>
          <w:szCs w:val="29"/>
          <w:lang w:eastAsia="cs-CZ"/>
          <w14:ligatures w14:val="none"/>
        </w:rPr>
        <w:t xml:space="preserve"> pro nauku víry, které v reakci na kritiku dokumentu tvrdí: "</w:t>
      </w:r>
      <w:r w:rsidRPr="00DB6369">
        <w:rPr>
          <w:rFonts w:ascii="Merriweather" w:eastAsia="Times New Roman" w:hAnsi="Merriweather" w:cs="Times New Roman"/>
          <w:i/>
          <w:iCs/>
          <w:color w:val="000000"/>
          <w:kern w:val="0"/>
          <w:sz w:val="29"/>
          <w:szCs w:val="29"/>
          <w:lang w:eastAsia="cs-CZ"/>
          <w14:ligatures w14:val="none"/>
        </w:rPr>
        <w:t>Ústředním tématem, jež obohatí naši pastorační praxi, je širší chápání požehnání a návrh na rozšíření pastoračního požehnání, které nevyžaduje stejné podmínky jako požehnání v liturgickém nebo rituálním kontextu."</w:t>
      </w:r>
    </w:p>
    <w:p w14:paraId="787EA9C5"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Za obohacení pastorační praxe nelze nikdy považovat žehnání těm, kteří úmyslně setrvávají v těžkém hříchu. </w:t>
      </w:r>
      <w:r w:rsidRPr="00DB6369">
        <w:rPr>
          <w:rFonts w:ascii="Merriweather" w:eastAsia="Times New Roman" w:hAnsi="Merriweather" w:cs="Times New Roman"/>
          <w:b/>
          <w:bCs/>
          <w:color w:val="000000"/>
          <w:kern w:val="0"/>
          <w:sz w:val="29"/>
          <w:szCs w:val="29"/>
          <w:lang w:eastAsia="cs-CZ"/>
          <w14:ligatures w14:val="none"/>
        </w:rPr>
        <w:t>Pastorace je zprostředkovávání Božích hodnot lidem</w:t>
      </w:r>
      <w:r w:rsidRPr="00DB6369">
        <w:rPr>
          <w:rFonts w:ascii="Merriweather" w:eastAsia="Times New Roman" w:hAnsi="Merriweather" w:cs="Times New Roman"/>
          <w:color w:val="000000"/>
          <w:kern w:val="0"/>
          <w:sz w:val="29"/>
          <w:szCs w:val="29"/>
          <w:lang w:eastAsia="cs-CZ"/>
          <w14:ligatures w14:val="none"/>
        </w:rPr>
        <w:t xml:space="preserve">, tak, jak to Církvi svěřil </w:t>
      </w:r>
      <w:r w:rsidRPr="00DB6369">
        <w:rPr>
          <w:rFonts w:ascii="Merriweather" w:eastAsia="Times New Roman" w:hAnsi="Merriweather" w:cs="Times New Roman"/>
          <w:color w:val="000000"/>
          <w:kern w:val="0"/>
          <w:sz w:val="29"/>
          <w:szCs w:val="29"/>
          <w:lang w:eastAsia="cs-CZ"/>
          <w14:ligatures w14:val="none"/>
        </w:rPr>
        <w:lastRenderedPageBreak/>
        <w:t>Pán Ježíš Kristus, který se obětoval za odpuštění hříchů a nikoli za jejich schvalování, tolerování a podporování!!!</w:t>
      </w:r>
    </w:p>
    <w:p w14:paraId="2E43E5D3"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35"/>
          <w:szCs w:val="35"/>
          <w:lang w:eastAsia="cs-CZ"/>
          <w14:ligatures w14:val="none"/>
        </w:rPr>
        <w:t>Považovat požehnání stejnopohlavním párům za rozšíření pastorace (Kristovy činnosti ve světě), je proto rouháním.</w:t>
      </w:r>
      <w:r w:rsidRPr="00DB6369">
        <w:rPr>
          <w:rFonts w:ascii="Merriweather" w:eastAsia="Times New Roman" w:hAnsi="Merriweather" w:cs="Times New Roman"/>
          <w:b/>
          <w:bCs/>
          <w:color w:val="000000"/>
          <w:kern w:val="0"/>
          <w:sz w:val="29"/>
          <w:szCs w:val="29"/>
          <w:lang w:eastAsia="cs-CZ"/>
          <w14:ligatures w14:val="none"/>
        </w:rPr>
        <w:t> </w:t>
      </w:r>
      <w:r w:rsidRPr="00DB6369">
        <w:rPr>
          <w:rFonts w:ascii="Merriweather" w:eastAsia="Times New Roman" w:hAnsi="Merriweather" w:cs="Times New Roman"/>
          <w:color w:val="000000"/>
          <w:kern w:val="0"/>
          <w:sz w:val="29"/>
          <w:szCs w:val="29"/>
          <w:lang w:eastAsia="cs-CZ"/>
          <w14:ligatures w14:val="none"/>
        </w:rPr>
        <w:t>Takže dalším těžkým hříchem!!!</w:t>
      </w:r>
    </w:p>
    <w:p w14:paraId="7DD4A1D8"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Termín </w:t>
      </w:r>
      <w:r w:rsidRPr="00DB6369">
        <w:rPr>
          <w:rFonts w:ascii="Merriweather" w:eastAsia="Times New Roman" w:hAnsi="Merriweather" w:cs="Times New Roman"/>
          <w:i/>
          <w:iCs/>
          <w:color w:val="000000"/>
          <w:kern w:val="0"/>
          <w:sz w:val="29"/>
          <w:szCs w:val="29"/>
          <w:lang w:eastAsia="cs-CZ"/>
          <w14:ligatures w14:val="none"/>
        </w:rPr>
        <w:t>pastorační požehnání </w:t>
      </w:r>
      <w:r w:rsidRPr="00DB6369">
        <w:rPr>
          <w:rFonts w:ascii="Merriweather" w:eastAsia="Times New Roman" w:hAnsi="Merriweather" w:cs="Times New Roman"/>
          <w:color w:val="000000"/>
          <w:kern w:val="0"/>
          <w:sz w:val="29"/>
          <w:szCs w:val="29"/>
          <w:lang w:eastAsia="cs-CZ"/>
          <w14:ligatures w14:val="none"/>
        </w:rPr>
        <w:t>je navíc holý nesmysl. Každé požehnání je pastoračním úkonem, protože zprostředkovává věřícím Boží hodnoty! Každé požehnání je ovšem také zároveň liturgickým úkonem, protože žehnání jakožto svátostina je vždy úkonem liturgickým, to znamená úkonem oficiální bohoslužby. Rozlišování požehnání na rituální a nerituální je proto pouhá hra se slovíčky, která nemá žádné zakotvení v realitě a pouze zakrývá schvalování hříchu!!!</w:t>
      </w:r>
    </w:p>
    <w:p w14:paraId="6151E5A3"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Stejné podmínky se skutečně pro veřejné a soukromé požehnání nevyžadují, ale </w:t>
      </w:r>
      <w:r w:rsidRPr="00DB6369">
        <w:rPr>
          <w:rFonts w:ascii="Merriweather" w:eastAsia="Times New Roman" w:hAnsi="Merriweather" w:cs="Times New Roman"/>
          <w:b/>
          <w:bCs/>
          <w:color w:val="000000"/>
          <w:kern w:val="0"/>
          <w:sz w:val="29"/>
          <w:szCs w:val="29"/>
          <w:lang w:eastAsia="cs-CZ"/>
          <w14:ligatures w14:val="none"/>
        </w:rPr>
        <w:t>pouze u věcí vnějších </w:t>
      </w:r>
      <w:r w:rsidRPr="00DB6369">
        <w:rPr>
          <w:rFonts w:ascii="Merriweather" w:eastAsia="Times New Roman" w:hAnsi="Merriweather" w:cs="Times New Roman"/>
          <w:color w:val="000000"/>
          <w:kern w:val="0"/>
          <w:sz w:val="29"/>
          <w:szCs w:val="29"/>
          <w:lang w:eastAsia="cs-CZ"/>
          <w14:ligatures w14:val="none"/>
        </w:rPr>
        <w:t>– jako je například oděv kněze (pouze klerika nebo dokonce civil) a forma požehnání (kdekoli, zpaměti, vlastními slovy).</w:t>
      </w:r>
    </w:p>
    <w:p w14:paraId="1DE375F5"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U přijímajícího se ovšem podmínky nemění!!!</w:t>
      </w:r>
    </w:p>
    <w:p w14:paraId="3A310661"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Jeho dispozice musí být pozitivní, tedy prosta těžkého hříchu, ať přijímá požehnání veřejně nebo soukromě.</w:t>
      </w:r>
    </w:p>
    <w:p w14:paraId="05CE90EE"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Na doplnění uvádíme, jak definuje liturgii dokonce II. Vatikánský koncil, na který se mnozí tak horlivě při devastaci liturgie odvolávají:</w:t>
      </w:r>
    </w:p>
    <w:p w14:paraId="609ABE32"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Liturgie je výkon Kristova kněžství v prostoru a čase, kterým se aktualizuje oslava Boží a spása člověka skrze viditelná znamení v platném řádu Církve.</w:t>
      </w:r>
    </w:p>
    <w:p w14:paraId="2B7F65CC"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w:t>
      </w:r>
      <w:r w:rsidRPr="00DB6369">
        <w:rPr>
          <w:rFonts w:ascii="Merriweather" w:eastAsia="Times New Roman" w:hAnsi="Merriweather" w:cs="Times New Roman"/>
          <w:i/>
          <w:iCs/>
          <w:color w:val="000000"/>
          <w:kern w:val="0"/>
          <w:sz w:val="29"/>
          <w:szCs w:val="29"/>
          <w:lang w:eastAsia="cs-CZ"/>
          <w14:ligatures w14:val="none"/>
        </w:rPr>
        <w:t xml:space="preserve">konstituce </w:t>
      </w:r>
      <w:proofErr w:type="spellStart"/>
      <w:r w:rsidRPr="00DB6369">
        <w:rPr>
          <w:rFonts w:ascii="Merriweather" w:eastAsia="Times New Roman" w:hAnsi="Merriweather" w:cs="Times New Roman"/>
          <w:i/>
          <w:iCs/>
          <w:color w:val="000000"/>
          <w:kern w:val="0"/>
          <w:sz w:val="29"/>
          <w:szCs w:val="29"/>
          <w:lang w:eastAsia="cs-CZ"/>
          <w14:ligatures w14:val="none"/>
        </w:rPr>
        <w:t>Sacrosanctum</w:t>
      </w:r>
      <w:proofErr w:type="spellEnd"/>
      <w:r w:rsidRPr="00DB6369">
        <w:rPr>
          <w:rFonts w:ascii="Merriweather" w:eastAsia="Times New Roman" w:hAnsi="Merriweather" w:cs="Times New Roman"/>
          <w:i/>
          <w:iCs/>
          <w:color w:val="000000"/>
          <w:kern w:val="0"/>
          <w:sz w:val="29"/>
          <w:szCs w:val="29"/>
          <w:lang w:eastAsia="cs-CZ"/>
          <w14:ligatures w14:val="none"/>
        </w:rPr>
        <w:t xml:space="preserve"> </w:t>
      </w:r>
      <w:proofErr w:type="spellStart"/>
      <w:r w:rsidRPr="00DB6369">
        <w:rPr>
          <w:rFonts w:ascii="Merriweather" w:eastAsia="Times New Roman" w:hAnsi="Merriweather" w:cs="Times New Roman"/>
          <w:i/>
          <w:iCs/>
          <w:color w:val="000000"/>
          <w:kern w:val="0"/>
          <w:sz w:val="29"/>
          <w:szCs w:val="29"/>
          <w:lang w:eastAsia="cs-CZ"/>
          <w14:ligatures w14:val="none"/>
        </w:rPr>
        <w:t>Concilium</w:t>
      </w:r>
      <w:proofErr w:type="spellEnd"/>
      <w:r w:rsidRPr="00DB6369">
        <w:rPr>
          <w:rFonts w:ascii="Merriweather" w:eastAsia="Times New Roman" w:hAnsi="Merriweather" w:cs="Times New Roman"/>
          <w:i/>
          <w:iCs/>
          <w:color w:val="000000"/>
          <w:kern w:val="0"/>
          <w:sz w:val="29"/>
          <w:szCs w:val="29"/>
          <w:lang w:eastAsia="cs-CZ"/>
          <w14:ligatures w14:val="none"/>
        </w:rPr>
        <w:t>, čl. 7-12</w:t>
      </w:r>
      <w:r w:rsidRPr="00DB6369">
        <w:rPr>
          <w:rFonts w:ascii="Merriweather" w:eastAsia="Times New Roman" w:hAnsi="Merriweather" w:cs="Times New Roman"/>
          <w:color w:val="000000"/>
          <w:kern w:val="0"/>
          <w:sz w:val="29"/>
          <w:szCs w:val="29"/>
          <w:lang w:eastAsia="cs-CZ"/>
          <w14:ligatures w14:val="none"/>
        </w:rPr>
        <w:t>)</w:t>
      </w:r>
    </w:p>
    <w:p w14:paraId="51711096"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Nový dokument odporuje této koncilní definici ve všech bodech!!!</w:t>
      </w:r>
    </w:p>
    <w:p w14:paraId="79961D49"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 xml:space="preserve">Vyjádření </w:t>
      </w:r>
      <w:proofErr w:type="spellStart"/>
      <w:r w:rsidRPr="00DB6369">
        <w:rPr>
          <w:rFonts w:ascii="Merriweather" w:eastAsia="Times New Roman" w:hAnsi="Merriweather" w:cs="Times New Roman"/>
          <w:color w:val="000000"/>
          <w:kern w:val="0"/>
          <w:sz w:val="29"/>
          <w:szCs w:val="29"/>
          <w:lang w:eastAsia="cs-CZ"/>
          <w14:ligatures w14:val="none"/>
        </w:rPr>
        <w:t>dikasteria</w:t>
      </w:r>
      <w:proofErr w:type="spellEnd"/>
      <w:r w:rsidRPr="00DB6369">
        <w:rPr>
          <w:rFonts w:ascii="Merriweather" w:eastAsia="Times New Roman" w:hAnsi="Merriweather" w:cs="Times New Roman"/>
          <w:color w:val="000000"/>
          <w:kern w:val="0"/>
          <w:sz w:val="29"/>
          <w:szCs w:val="29"/>
          <w:lang w:eastAsia="cs-CZ"/>
          <w14:ligatures w14:val="none"/>
        </w:rPr>
        <w:t xml:space="preserve"> dále uvádí: "</w:t>
      </w:r>
      <w:r w:rsidRPr="00DB6369">
        <w:rPr>
          <w:rFonts w:ascii="Merriweather" w:eastAsia="Times New Roman" w:hAnsi="Merriweather" w:cs="Times New Roman"/>
          <w:i/>
          <w:iCs/>
          <w:color w:val="000000"/>
          <w:kern w:val="0"/>
          <w:sz w:val="29"/>
          <w:szCs w:val="29"/>
          <w:lang w:eastAsia="cs-CZ"/>
          <w14:ligatures w14:val="none"/>
        </w:rPr>
        <w:t>Všichni jsou žádáni, aby rostli v přesvědčení, že neritualizované požehnání není posvěcením osoby nebo páru, který je přijímá, není ospravedlněním všech jejich činů, nestvrzuje život, který vedou."</w:t>
      </w:r>
    </w:p>
    <w:p w14:paraId="0EEE6EB6"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Výraz "</w:t>
      </w:r>
      <w:r w:rsidRPr="00DB6369">
        <w:rPr>
          <w:rFonts w:ascii="Merriweather" w:eastAsia="Times New Roman" w:hAnsi="Merriweather" w:cs="Times New Roman"/>
          <w:i/>
          <w:iCs/>
          <w:color w:val="000000"/>
          <w:kern w:val="0"/>
          <w:sz w:val="29"/>
          <w:szCs w:val="29"/>
          <w:lang w:eastAsia="cs-CZ"/>
          <w14:ligatures w14:val="none"/>
        </w:rPr>
        <w:t>všichni jsou žádáni" </w:t>
      </w:r>
      <w:r w:rsidRPr="00DB6369">
        <w:rPr>
          <w:rFonts w:ascii="Merriweather" w:eastAsia="Times New Roman" w:hAnsi="Merriweather" w:cs="Times New Roman"/>
          <w:color w:val="000000"/>
          <w:kern w:val="0"/>
          <w:sz w:val="29"/>
          <w:szCs w:val="29"/>
          <w:lang w:eastAsia="cs-CZ"/>
          <w14:ligatures w14:val="none"/>
        </w:rPr>
        <w:t xml:space="preserve">je důkazem mizivé právní úrovně celého dokumentu. Jsme žádáni, proto nemáme povinnost! Ovšem jsme žádáni o něco, co je v přímém rozporu s neměnným pokladem víry. Proto spolu s Apoštolem Petrem – prvním </w:t>
      </w:r>
      <w:r w:rsidRPr="00DB6369">
        <w:rPr>
          <w:rFonts w:ascii="Merriweather" w:eastAsia="Times New Roman" w:hAnsi="Merriweather" w:cs="Times New Roman"/>
          <w:color w:val="000000"/>
          <w:kern w:val="0"/>
          <w:sz w:val="29"/>
          <w:szCs w:val="29"/>
          <w:lang w:eastAsia="cs-CZ"/>
          <w14:ligatures w14:val="none"/>
        </w:rPr>
        <w:lastRenderedPageBreak/>
        <w:t>papežem, odpovídáme: "Více je třeba poslouchat Boha než lidi" (Sk, 5,29), a v onom přesvědčení růst nebudeme!</w:t>
      </w:r>
    </w:p>
    <w:p w14:paraId="6C19F2E3"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O nesmyslu výrazu "</w:t>
      </w:r>
      <w:r w:rsidRPr="00DB6369">
        <w:rPr>
          <w:rFonts w:ascii="Merriweather" w:eastAsia="Times New Roman" w:hAnsi="Merriweather" w:cs="Times New Roman"/>
          <w:i/>
          <w:iCs/>
          <w:color w:val="000000"/>
          <w:kern w:val="0"/>
          <w:sz w:val="29"/>
          <w:szCs w:val="29"/>
          <w:lang w:eastAsia="cs-CZ"/>
          <w14:ligatures w14:val="none"/>
        </w:rPr>
        <w:t>neritualizované požehnání"</w:t>
      </w:r>
      <w:r w:rsidRPr="00DB6369">
        <w:rPr>
          <w:rFonts w:ascii="Merriweather" w:eastAsia="Times New Roman" w:hAnsi="Merriweather" w:cs="Times New Roman"/>
          <w:color w:val="000000"/>
          <w:kern w:val="0"/>
          <w:sz w:val="29"/>
          <w:szCs w:val="29"/>
          <w:lang w:eastAsia="cs-CZ"/>
          <w14:ligatures w14:val="none"/>
        </w:rPr>
        <w:t xml:space="preserve"> jsme se již zmínili. Ve vyjádření </w:t>
      </w:r>
      <w:proofErr w:type="spellStart"/>
      <w:r w:rsidRPr="00DB6369">
        <w:rPr>
          <w:rFonts w:ascii="Merriweather" w:eastAsia="Times New Roman" w:hAnsi="Merriweather" w:cs="Times New Roman"/>
          <w:color w:val="000000"/>
          <w:kern w:val="0"/>
          <w:sz w:val="29"/>
          <w:szCs w:val="29"/>
          <w:lang w:eastAsia="cs-CZ"/>
          <w14:ligatures w14:val="none"/>
        </w:rPr>
        <w:t>Dikasteria</w:t>
      </w:r>
      <w:proofErr w:type="spellEnd"/>
      <w:r w:rsidRPr="00DB6369">
        <w:rPr>
          <w:rFonts w:ascii="Merriweather" w:eastAsia="Times New Roman" w:hAnsi="Merriweather" w:cs="Times New Roman"/>
          <w:color w:val="000000"/>
          <w:kern w:val="0"/>
          <w:sz w:val="29"/>
          <w:szCs w:val="29"/>
          <w:lang w:eastAsia="cs-CZ"/>
          <w14:ligatures w14:val="none"/>
        </w:rPr>
        <w:t xml:space="preserve"> pro nauku víry, které mělo celý dokument vysvětlit, vzniká naopak ještě více rozporů a nesmyslů. Toto "požehnání" údajně není posvěcením osoby ani páru, který je přijímá. Čím tedy je?!? Jestli je to požehnání, pak je zdrojem posvěcení, pokud to není posvěcení, není to požehnání.</w:t>
      </w:r>
    </w:p>
    <w:p w14:paraId="3A87E633"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 xml:space="preserve">Podle vyjádření </w:t>
      </w:r>
      <w:proofErr w:type="spellStart"/>
      <w:r w:rsidRPr="00DB6369">
        <w:rPr>
          <w:rFonts w:ascii="Merriweather" w:eastAsia="Times New Roman" w:hAnsi="Merriweather" w:cs="Times New Roman"/>
          <w:color w:val="000000"/>
          <w:kern w:val="0"/>
          <w:sz w:val="29"/>
          <w:szCs w:val="29"/>
          <w:lang w:eastAsia="cs-CZ"/>
          <w14:ligatures w14:val="none"/>
        </w:rPr>
        <w:t>dikasteria</w:t>
      </w:r>
      <w:proofErr w:type="spellEnd"/>
      <w:r w:rsidRPr="00DB6369">
        <w:rPr>
          <w:rFonts w:ascii="Merriweather" w:eastAsia="Times New Roman" w:hAnsi="Merriweather" w:cs="Times New Roman"/>
          <w:color w:val="000000"/>
          <w:kern w:val="0"/>
          <w:sz w:val="29"/>
          <w:szCs w:val="29"/>
          <w:lang w:eastAsia="cs-CZ"/>
          <w14:ligatures w14:val="none"/>
        </w:rPr>
        <w:t xml:space="preserve"> se jedná o prosté "projevy pastorační blízkosti, které nekladou stejné nároky jako svátost nebo formální obřad." Opět se zde nejasnými a nedefinovanými pojmy zakrývá schvalování hříchů. Kněz udělí požehnání, ale vlastně prý nepožehnal, osoby přišly jako pár, ale není to požehnání páru atd. Dokument těmito nesmyslnými tvrzeními sám sebe vyvrací.</w:t>
      </w:r>
    </w:p>
    <w:p w14:paraId="0A97168F"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36"/>
          <w:szCs w:val="36"/>
          <w:lang w:eastAsia="cs-CZ"/>
          <w14:ligatures w14:val="none"/>
        </w:rPr>
        <w:t>Manželství</w:t>
      </w:r>
    </w:p>
    <w:p w14:paraId="6149323B"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 xml:space="preserve">Dokument vzhledem k manželství zdůrazňuje, že se církevní nauka o manželství nemění. Tím se dokument sám odsuzuje, protože Církev jednoznačně </w:t>
      </w:r>
      <w:proofErr w:type="gramStart"/>
      <w:r w:rsidRPr="00DB6369">
        <w:rPr>
          <w:rFonts w:ascii="Merriweather" w:eastAsia="Times New Roman" w:hAnsi="Merriweather" w:cs="Times New Roman"/>
          <w:color w:val="000000"/>
          <w:kern w:val="0"/>
          <w:sz w:val="29"/>
          <w:szCs w:val="29"/>
          <w:lang w:eastAsia="cs-CZ"/>
          <w14:ligatures w14:val="none"/>
        </w:rPr>
        <w:t>učí</w:t>
      </w:r>
      <w:proofErr w:type="gramEnd"/>
      <w:r w:rsidRPr="00DB6369">
        <w:rPr>
          <w:rFonts w:ascii="Merriweather" w:eastAsia="Times New Roman" w:hAnsi="Merriweather" w:cs="Times New Roman"/>
          <w:color w:val="000000"/>
          <w:kern w:val="0"/>
          <w:sz w:val="29"/>
          <w:szCs w:val="29"/>
          <w:lang w:eastAsia="cs-CZ"/>
          <w14:ligatures w14:val="none"/>
        </w:rPr>
        <w:t>, že</w:t>
      </w:r>
      <w:r w:rsidRPr="00DB6369">
        <w:rPr>
          <w:rFonts w:ascii="Merriweather" w:eastAsia="Times New Roman" w:hAnsi="Merriweather" w:cs="Times New Roman"/>
          <w:b/>
          <w:bCs/>
          <w:color w:val="000000"/>
          <w:kern w:val="0"/>
          <w:sz w:val="29"/>
          <w:szCs w:val="29"/>
          <w:lang w:eastAsia="cs-CZ"/>
          <w14:ligatures w14:val="none"/>
        </w:rPr>
        <w:t> veškerá pohlavní aktivita je možná pouze v řádném manželství.</w:t>
      </w:r>
    </w:p>
    <w:p w14:paraId="5018E9CF"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A manželství</w:t>
      </w:r>
      <w:r w:rsidRPr="00DB6369">
        <w:rPr>
          <w:rFonts w:ascii="Merriweather" w:eastAsia="Times New Roman" w:hAnsi="Merriweather" w:cs="Times New Roman"/>
          <w:color w:val="000000"/>
          <w:kern w:val="0"/>
          <w:sz w:val="29"/>
          <w:szCs w:val="29"/>
          <w:lang w:eastAsia="cs-CZ"/>
          <w14:ligatures w14:val="none"/>
        </w:rPr>
        <w:t> </w:t>
      </w:r>
      <w:r w:rsidRPr="00DB6369">
        <w:rPr>
          <w:rFonts w:ascii="Merriweather" w:eastAsia="Times New Roman" w:hAnsi="Merriweather" w:cs="Times New Roman"/>
          <w:b/>
          <w:bCs/>
          <w:color w:val="000000"/>
          <w:kern w:val="0"/>
          <w:sz w:val="29"/>
          <w:szCs w:val="29"/>
          <w:lang w:eastAsia="cs-CZ"/>
          <w14:ligatures w14:val="none"/>
        </w:rPr>
        <w:t>je svátost,</w:t>
      </w:r>
      <w:r w:rsidRPr="00DB6369">
        <w:rPr>
          <w:rFonts w:ascii="Merriweather" w:eastAsia="Times New Roman" w:hAnsi="Merriweather" w:cs="Times New Roman"/>
          <w:color w:val="000000"/>
          <w:kern w:val="0"/>
          <w:sz w:val="29"/>
          <w:szCs w:val="29"/>
          <w:lang w:eastAsia="cs-CZ"/>
          <w14:ligatures w14:val="none"/>
        </w:rPr>
        <w:t> kterou se dvě svobodné osoby –</w:t>
      </w:r>
      <w:r w:rsidRPr="00DB6369">
        <w:rPr>
          <w:rFonts w:ascii="Merriweather" w:eastAsia="Times New Roman" w:hAnsi="Merriweather" w:cs="Times New Roman"/>
          <w:b/>
          <w:bCs/>
          <w:color w:val="000000"/>
          <w:kern w:val="0"/>
          <w:sz w:val="29"/>
          <w:szCs w:val="29"/>
          <w:lang w:eastAsia="cs-CZ"/>
          <w14:ligatures w14:val="none"/>
        </w:rPr>
        <w:t>muž a žena</w:t>
      </w:r>
      <w:r w:rsidRPr="00DB6369">
        <w:rPr>
          <w:rFonts w:ascii="Merriweather" w:eastAsia="Times New Roman" w:hAnsi="Merriweather" w:cs="Times New Roman"/>
          <w:color w:val="000000"/>
          <w:kern w:val="0"/>
          <w:sz w:val="29"/>
          <w:szCs w:val="29"/>
          <w:lang w:eastAsia="cs-CZ"/>
          <w14:ligatures w14:val="none"/>
        </w:rPr>
        <w:t> – nerozlučně spojují a od Boha nabývají milosti, by povinnosti stavu manželského až do smrti věrně plnili. (Velký katechismus 732)</w:t>
      </w:r>
    </w:p>
    <w:p w14:paraId="66CE8503"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 xml:space="preserve">O homosexuálních vztazích </w:t>
      </w:r>
      <w:proofErr w:type="gramStart"/>
      <w:r w:rsidRPr="00DB6369">
        <w:rPr>
          <w:rFonts w:ascii="Merriweather" w:eastAsia="Times New Roman" w:hAnsi="Merriweather" w:cs="Times New Roman"/>
          <w:b/>
          <w:bCs/>
          <w:color w:val="000000"/>
          <w:kern w:val="0"/>
          <w:sz w:val="29"/>
          <w:szCs w:val="29"/>
          <w:lang w:eastAsia="cs-CZ"/>
          <w14:ligatures w14:val="none"/>
        </w:rPr>
        <w:t>učí</w:t>
      </w:r>
      <w:proofErr w:type="gramEnd"/>
      <w:r w:rsidRPr="00DB6369">
        <w:rPr>
          <w:rFonts w:ascii="Merriweather" w:eastAsia="Times New Roman" w:hAnsi="Merriweather" w:cs="Times New Roman"/>
          <w:b/>
          <w:bCs/>
          <w:color w:val="000000"/>
          <w:kern w:val="0"/>
          <w:sz w:val="29"/>
          <w:szCs w:val="29"/>
          <w:lang w:eastAsia="cs-CZ"/>
          <w14:ligatures w14:val="none"/>
        </w:rPr>
        <w:t xml:space="preserve"> Katechismus Katolické Církve (2357):</w:t>
      </w:r>
    </w:p>
    <w:p w14:paraId="1BD1A3A0"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 xml:space="preserve">Tradice, opírající se o Písmo svaté, které představuje homosexuální vztahy jako těžkou mravní spoušť (Řím 1, 24-27; 1 </w:t>
      </w:r>
      <w:proofErr w:type="spellStart"/>
      <w:r w:rsidRPr="00DB6369">
        <w:rPr>
          <w:rFonts w:ascii="Merriweather" w:eastAsia="Times New Roman" w:hAnsi="Merriweather" w:cs="Times New Roman"/>
          <w:color w:val="000000"/>
          <w:kern w:val="0"/>
          <w:sz w:val="29"/>
          <w:szCs w:val="29"/>
          <w:lang w:eastAsia="cs-CZ"/>
          <w14:ligatures w14:val="none"/>
        </w:rPr>
        <w:t>Kor</w:t>
      </w:r>
      <w:proofErr w:type="spellEnd"/>
      <w:r w:rsidRPr="00DB6369">
        <w:rPr>
          <w:rFonts w:ascii="Merriweather" w:eastAsia="Times New Roman" w:hAnsi="Merriweather" w:cs="Times New Roman"/>
          <w:color w:val="000000"/>
          <w:kern w:val="0"/>
          <w:sz w:val="29"/>
          <w:szCs w:val="29"/>
          <w:lang w:eastAsia="cs-CZ"/>
          <w14:ligatures w14:val="none"/>
        </w:rPr>
        <w:t xml:space="preserve"> 6,10; 1 Tim 1,10), vždy prohlašovala, že homosexuální úkony jsou vnitřně nezřízené. Odporují přirozenému zákonu. Odlučují pohlavní úkon od předávání života. Nejsou plodem opravdového citového a pohlavního doplňování se. V žádném případě nemohou být schvalovány.</w:t>
      </w:r>
    </w:p>
    <w:p w14:paraId="547EFB4E"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 xml:space="preserve">Tak </w:t>
      </w:r>
      <w:proofErr w:type="gramStart"/>
      <w:r w:rsidRPr="00DB6369">
        <w:rPr>
          <w:rFonts w:ascii="Merriweather" w:eastAsia="Times New Roman" w:hAnsi="Merriweather" w:cs="Times New Roman"/>
          <w:color w:val="000000"/>
          <w:kern w:val="0"/>
          <w:sz w:val="29"/>
          <w:szCs w:val="29"/>
          <w:lang w:eastAsia="cs-CZ"/>
          <w14:ligatures w14:val="none"/>
        </w:rPr>
        <w:t>učí</w:t>
      </w:r>
      <w:proofErr w:type="gramEnd"/>
      <w:r w:rsidRPr="00DB6369">
        <w:rPr>
          <w:rFonts w:ascii="Merriweather" w:eastAsia="Times New Roman" w:hAnsi="Merriweather" w:cs="Times New Roman"/>
          <w:color w:val="000000"/>
          <w:kern w:val="0"/>
          <w:sz w:val="29"/>
          <w:szCs w:val="29"/>
          <w:lang w:eastAsia="cs-CZ"/>
          <w14:ligatures w14:val="none"/>
        </w:rPr>
        <w:t xml:space="preserve"> i nově vydaný katechismus (z roku 1992), zatímco dokument je s touto naukou v rozporu.</w:t>
      </w:r>
    </w:p>
    <w:p w14:paraId="267BB26F"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Z uvedeného zcela jasně plyne, že </w:t>
      </w:r>
      <w:r w:rsidRPr="00DB6369">
        <w:rPr>
          <w:rFonts w:ascii="Merriweather" w:eastAsia="Times New Roman" w:hAnsi="Merriweather" w:cs="Times New Roman"/>
          <w:b/>
          <w:bCs/>
          <w:color w:val="000000"/>
          <w:kern w:val="0"/>
          <w:sz w:val="29"/>
          <w:szCs w:val="29"/>
          <w:lang w:eastAsia="cs-CZ"/>
          <w14:ligatures w14:val="none"/>
        </w:rPr>
        <w:t>není možné být katolíkem a uznávat tento nový dokument!!!</w:t>
      </w:r>
    </w:p>
    <w:p w14:paraId="727910A8"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34"/>
          <w:szCs w:val="34"/>
          <w:lang w:eastAsia="cs-CZ"/>
          <w14:ligatures w14:val="none"/>
        </w:rPr>
        <w:lastRenderedPageBreak/>
        <w:t>Na doplnění uvádíme jiná prohlášení Kongregace pro nauku víry na toto téma:</w:t>
      </w:r>
    </w:p>
    <w:p w14:paraId="2980F00C"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i/>
          <w:iCs/>
          <w:color w:val="000000"/>
          <w:kern w:val="0"/>
          <w:sz w:val="29"/>
          <w:szCs w:val="29"/>
          <w:lang w:eastAsia="cs-CZ"/>
          <w14:ligatures w14:val="none"/>
        </w:rPr>
        <w:t>Persona humana</w:t>
      </w:r>
      <w:r w:rsidRPr="00DB6369">
        <w:rPr>
          <w:rFonts w:ascii="Merriweather" w:eastAsia="Times New Roman" w:hAnsi="Merriweather" w:cs="Times New Roman"/>
          <w:b/>
          <w:bCs/>
          <w:color w:val="000000"/>
          <w:kern w:val="0"/>
          <w:sz w:val="29"/>
          <w:szCs w:val="29"/>
          <w:lang w:eastAsia="cs-CZ"/>
          <w14:ligatures w14:val="none"/>
        </w:rPr>
        <w:t> z roku 1975 o některých otázkách sexuální etiky:</w:t>
      </w:r>
    </w:p>
    <w:p w14:paraId="5285CF4E"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čl. 8: V pastorační péči o duše je třeba takové homosexuály přijímat s pozornou vlídností ducha a povzbuzovat v naději, že jejich vlastní nesnáze a společenské odcizení budou jednou překonány. Také jejich míra provinění musí být posuzována opatrně. Přece však není dovoleno použít žádného pastoračního způsobu nebo metody, které by podobné úkony těchto lidí mravně omlouvaly jen proto, že jsou považovány za odpovídající jejich stavu. Vždyť podle objektivního mravního řádu jsou homosexuální spojení úkony, které postrádají své nezbytné a podstatné pravidlo. V Písmu svatém jsou odsouzeny jako vážná zvrácenost, ba jsou prezentovány jako neblahý následek Božího zavržení.</w:t>
      </w:r>
    </w:p>
    <w:p w14:paraId="726EC018"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b/>
          <w:bCs/>
          <w:color w:val="000000"/>
          <w:kern w:val="0"/>
          <w:sz w:val="29"/>
          <w:szCs w:val="29"/>
          <w:lang w:eastAsia="cs-CZ"/>
          <w14:ligatures w14:val="none"/>
        </w:rPr>
        <w:t>Prohlášení z 15. března roku 2021:</w:t>
      </w:r>
    </w:p>
    <w:p w14:paraId="1DCC53FA"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Kongregace zamítla žehnání homosexuálních svazků z těchto důvodů:</w:t>
      </w:r>
    </w:p>
    <w:p w14:paraId="42BE7004"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První se týká pravdy a hodnoty požehnání, které je "svátostinou". Jedná se o liturgický úkon Církve, jehož předpokladem je, aby to, co je předmětem požehnání, bylo </w:t>
      </w:r>
      <w:r w:rsidRPr="00DB6369">
        <w:rPr>
          <w:rFonts w:ascii="Merriweather" w:eastAsia="Times New Roman" w:hAnsi="Merriweather" w:cs="Times New Roman"/>
          <w:i/>
          <w:iCs/>
          <w:color w:val="000000"/>
          <w:kern w:val="0"/>
          <w:sz w:val="29"/>
          <w:szCs w:val="29"/>
          <w:lang w:eastAsia="cs-CZ"/>
          <w14:ligatures w14:val="none"/>
        </w:rPr>
        <w:t>objektivně a pozitivně nastaveno přijímat a projevovat milost podle Božích plánů zapsaných ve Stvoření. </w:t>
      </w:r>
      <w:r w:rsidRPr="00DB6369">
        <w:rPr>
          <w:rFonts w:ascii="Merriweather" w:eastAsia="Times New Roman" w:hAnsi="Merriweather" w:cs="Times New Roman"/>
          <w:color w:val="000000"/>
          <w:kern w:val="0"/>
          <w:sz w:val="29"/>
          <w:szCs w:val="29"/>
          <w:lang w:eastAsia="cs-CZ"/>
          <w14:ligatures w14:val="none"/>
        </w:rPr>
        <w:t>Vztahy, které </w:t>
      </w:r>
      <w:r w:rsidRPr="00DB6369">
        <w:rPr>
          <w:rFonts w:ascii="Merriweather" w:eastAsia="Times New Roman" w:hAnsi="Merriweather" w:cs="Times New Roman"/>
          <w:i/>
          <w:iCs/>
          <w:color w:val="000000"/>
          <w:kern w:val="0"/>
          <w:sz w:val="29"/>
          <w:szCs w:val="29"/>
          <w:lang w:eastAsia="cs-CZ"/>
          <w14:ligatures w14:val="none"/>
        </w:rPr>
        <w:t>zahrnují sexuální aktivitu mimo manželství, tedy mimo nerozlučné spojení mezi mužem a ženou a nejsou otevřené k předávání života, nekorespondují s Božím plánem</w:t>
      </w:r>
      <w:r w:rsidRPr="00DB6369">
        <w:rPr>
          <w:rFonts w:ascii="Merriweather" w:eastAsia="Times New Roman" w:hAnsi="Merriweather" w:cs="Times New Roman"/>
          <w:color w:val="000000"/>
          <w:kern w:val="0"/>
          <w:sz w:val="29"/>
          <w:szCs w:val="29"/>
          <w:lang w:eastAsia="cs-CZ"/>
          <w14:ligatures w14:val="none"/>
        </w:rPr>
        <w:t>. To se netýká pouze párů osob stejného pohlaví, ale také svazků, které zahrnují sexuální aktivitu mimo manželství.</w:t>
      </w:r>
    </w:p>
    <w:p w14:paraId="1EDC2D43"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color w:val="000000"/>
          <w:kern w:val="0"/>
          <w:sz w:val="29"/>
          <w:szCs w:val="29"/>
          <w:lang w:eastAsia="cs-CZ"/>
          <w14:ligatures w14:val="none"/>
        </w:rPr>
        <w:t>Dalším důvodem zamítavé reakce je riziko, že požehnání svazků osob stejného pohlaví může být omylem spojeno s požehnáním svátosti manželství. Na závěr kongregace konstatuje, že tato odpověď nevylučuje </w:t>
      </w:r>
      <w:r w:rsidRPr="00DB6369">
        <w:rPr>
          <w:rFonts w:ascii="Merriweather" w:eastAsia="Times New Roman" w:hAnsi="Merriweather" w:cs="Times New Roman"/>
          <w:i/>
          <w:iCs/>
          <w:color w:val="000000"/>
          <w:kern w:val="0"/>
          <w:sz w:val="29"/>
          <w:szCs w:val="29"/>
          <w:lang w:eastAsia="cs-CZ"/>
          <w14:ligatures w14:val="none"/>
        </w:rPr>
        <w:t>požehnání udělená jednotlivcům s homosexuálními sklony, kteří projevují vůli žít ve věrnosti s Božími plány a prohlašují za nepřípustnou jakoukoliv formu požehnání, která by uznávala takovéto svazky."</w:t>
      </w:r>
    </w:p>
    <w:p w14:paraId="7FC114B7" w14:textId="77777777" w:rsidR="00DB6369" w:rsidRPr="00DB6369" w:rsidRDefault="00DB6369" w:rsidP="00DB6369">
      <w:pPr>
        <w:spacing w:after="0" w:line="240" w:lineRule="auto"/>
        <w:jc w:val="both"/>
        <w:rPr>
          <w:rFonts w:ascii="Merriweather" w:eastAsia="Times New Roman" w:hAnsi="Merriweather" w:cs="Times New Roman"/>
          <w:color w:val="000000"/>
          <w:kern w:val="0"/>
          <w:sz w:val="27"/>
          <w:szCs w:val="27"/>
          <w:lang w:eastAsia="cs-CZ"/>
          <w14:ligatures w14:val="none"/>
        </w:rPr>
      </w:pPr>
      <w:proofErr w:type="spellStart"/>
      <w:r w:rsidRPr="00DB6369">
        <w:rPr>
          <w:rFonts w:ascii="Merriweather" w:eastAsia="Times New Roman" w:hAnsi="Merriweather" w:cs="Times New Roman"/>
          <w:color w:val="000000"/>
          <w:kern w:val="0"/>
          <w:sz w:val="29"/>
          <w:szCs w:val="29"/>
          <w:lang w:eastAsia="cs-CZ"/>
          <w14:ligatures w14:val="none"/>
        </w:rPr>
        <w:t>Dikasterium</w:t>
      </w:r>
      <w:proofErr w:type="spellEnd"/>
      <w:r w:rsidRPr="00DB6369">
        <w:rPr>
          <w:rFonts w:ascii="Merriweather" w:eastAsia="Times New Roman" w:hAnsi="Merriweather" w:cs="Times New Roman"/>
          <w:color w:val="000000"/>
          <w:kern w:val="0"/>
          <w:sz w:val="29"/>
          <w:szCs w:val="29"/>
          <w:lang w:eastAsia="cs-CZ"/>
          <w14:ligatures w14:val="none"/>
        </w:rPr>
        <w:t xml:space="preserve"> pro nauku víry by tedy mělo (spíše než obhajovat a vysvětlovat nový dokument) objasnit, proč to, co doposavad </w:t>
      </w:r>
      <w:r w:rsidRPr="00DB6369">
        <w:rPr>
          <w:rFonts w:ascii="Merriweather" w:eastAsia="Times New Roman" w:hAnsi="Merriweather" w:cs="Times New Roman"/>
          <w:color w:val="000000"/>
          <w:kern w:val="0"/>
          <w:sz w:val="29"/>
          <w:szCs w:val="29"/>
          <w:lang w:eastAsia="cs-CZ"/>
          <w14:ligatures w14:val="none"/>
        </w:rPr>
        <w:lastRenderedPageBreak/>
        <w:t>zamítalo jako odporující katolické víře, dnes vyhlašuje a obhajuje!!!!!</w:t>
      </w:r>
    </w:p>
    <w:p w14:paraId="2D44A538" w14:textId="77777777" w:rsidR="00DB6369" w:rsidRPr="00DB6369" w:rsidRDefault="00DB6369" w:rsidP="00DB6369">
      <w:pPr>
        <w:spacing w:after="0" w:line="240" w:lineRule="auto"/>
        <w:jc w:val="right"/>
        <w:rPr>
          <w:rFonts w:ascii="Merriweather" w:eastAsia="Times New Roman" w:hAnsi="Merriweather" w:cs="Times New Roman"/>
          <w:color w:val="000000"/>
          <w:kern w:val="0"/>
          <w:sz w:val="27"/>
          <w:szCs w:val="27"/>
          <w:lang w:eastAsia="cs-CZ"/>
          <w14:ligatures w14:val="none"/>
        </w:rPr>
      </w:pPr>
      <w:r w:rsidRPr="00DB6369">
        <w:rPr>
          <w:rFonts w:ascii="Merriweather" w:eastAsia="Times New Roman" w:hAnsi="Merriweather" w:cs="Times New Roman"/>
          <w:i/>
          <w:iCs/>
          <w:color w:val="000000"/>
          <w:kern w:val="0"/>
          <w:sz w:val="29"/>
          <w:szCs w:val="29"/>
          <w:lang w:eastAsia="cs-CZ"/>
          <w14:ligatures w14:val="none"/>
        </w:rPr>
        <w:t>Zpracovala redakce</w:t>
      </w:r>
    </w:p>
    <w:p w14:paraId="27163B92" w14:textId="77777777" w:rsidR="00DB6369" w:rsidRDefault="00DB6369">
      <w:pPr>
        <w:rPr>
          <w:rFonts w:ascii="Merriweather" w:eastAsia="Times New Roman" w:hAnsi="Merriweather" w:cs="Times New Roman"/>
          <w:b/>
          <w:bCs/>
          <w:color w:val="000000"/>
          <w:kern w:val="0"/>
          <w:sz w:val="40"/>
          <w:szCs w:val="40"/>
          <w:lang w:eastAsia="cs-CZ"/>
          <w14:ligatures w14:val="none"/>
        </w:rPr>
      </w:pPr>
    </w:p>
    <w:p w14:paraId="3E3F6D49" w14:textId="77777777" w:rsidR="00FE629C" w:rsidRDefault="00FE629C">
      <w:pPr>
        <w:rPr>
          <w:rFonts w:ascii="Merriweather" w:eastAsia="Times New Roman" w:hAnsi="Merriweather" w:cs="Times New Roman"/>
          <w:b/>
          <w:bCs/>
          <w:color w:val="000000"/>
          <w:kern w:val="0"/>
          <w:sz w:val="40"/>
          <w:szCs w:val="40"/>
          <w:lang w:eastAsia="cs-CZ"/>
          <w14:ligatures w14:val="none"/>
        </w:rPr>
      </w:pPr>
    </w:p>
    <w:p w14:paraId="7E181396" w14:textId="6F76186A" w:rsidR="00FE629C" w:rsidRPr="00FE629C" w:rsidRDefault="00FE629C">
      <w:pPr>
        <w:rPr>
          <w:rFonts w:ascii="Merriweather" w:eastAsia="Times New Roman" w:hAnsi="Merriweather" w:cs="Times New Roman"/>
          <w:b/>
          <w:bCs/>
          <w:color w:val="000000"/>
          <w:kern w:val="0"/>
          <w:sz w:val="28"/>
          <w:szCs w:val="28"/>
          <w:lang w:eastAsia="cs-CZ"/>
          <w14:ligatures w14:val="none"/>
        </w:rPr>
      </w:pPr>
      <w:r w:rsidRPr="00FE629C">
        <w:rPr>
          <w:rFonts w:ascii="Merriweather" w:eastAsia="Times New Roman" w:hAnsi="Merriweather" w:cs="Times New Roman"/>
          <w:color w:val="000000"/>
          <w:kern w:val="0"/>
          <w:sz w:val="28"/>
          <w:szCs w:val="28"/>
          <w:lang w:eastAsia="cs-CZ"/>
          <w14:ligatures w14:val="none"/>
        </w:rPr>
        <w:t>Převzato z</w:t>
      </w:r>
      <w:r w:rsidRPr="00FE629C">
        <w:rPr>
          <w:rFonts w:ascii="Merriweather" w:eastAsia="Times New Roman" w:hAnsi="Merriweather" w:cs="Times New Roman"/>
          <w:b/>
          <w:bCs/>
          <w:color w:val="000000"/>
          <w:kern w:val="0"/>
          <w:sz w:val="28"/>
          <w:szCs w:val="28"/>
          <w:lang w:eastAsia="cs-CZ"/>
          <w14:ligatures w14:val="none"/>
        </w:rPr>
        <w:t xml:space="preserve"> </w:t>
      </w:r>
      <w:r w:rsidRPr="00FE629C">
        <w:rPr>
          <w:rFonts w:ascii="Merriweather" w:eastAsia="Times New Roman" w:hAnsi="Merriweather" w:cs="Times New Roman"/>
          <w:b/>
          <w:bCs/>
          <w:color w:val="000000"/>
          <w:kern w:val="0"/>
          <w:sz w:val="28"/>
          <w:szCs w:val="28"/>
          <w:lang w:eastAsia="cs-CZ"/>
          <w14:ligatures w14:val="none"/>
        </w:rPr>
        <w:t>https://farnostvejprty.webnode.cz/</w:t>
      </w:r>
    </w:p>
    <w:p w14:paraId="2DFDE808" w14:textId="77777777" w:rsidR="00FE629C" w:rsidRDefault="00FE629C"/>
    <w:sectPr w:rsidR="00FE62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EE"/>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369"/>
    <w:rsid w:val="00DB6369"/>
    <w:rsid w:val="00FE62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53C5"/>
  <w15:chartTrackingRefBased/>
  <w15:docId w15:val="{6CCE5C5C-5875-452B-9D4C-5A79A030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B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DB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DB636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DB636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DB636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DB636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B636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B636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B636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B636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DB636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DB636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DB636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DB636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DB636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B636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B636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B6369"/>
    <w:rPr>
      <w:rFonts w:eastAsiaTheme="majorEastAsia" w:cstheme="majorBidi"/>
      <w:color w:val="272727" w:themeColor="text1" w:themeTint="D8"/>
    </w:rPr>
  </w:style>
  <w:style w:type="paragraph" w:styleId="Nzev">
    <w:name w:val="Title"/>
    <w:basedOn w:val="Normln"/>
    <w:next w:val="Normln"/>
    <w:link w:val="NzevChar"/>
    <w:uiPriority w:val="10"/>
    <w:qFormat/>
    <w:rsid w:val="00DB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B636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B636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B636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B6369"/>
    <w:pPr>
      <w:spacing w:before="160"/>
      <w:jc w:val="center"/>
    </w:pPr>
    <w:rPr>
      <w:i/>
      <w:iCs/>
      <w:color w:val="404040" w:themeColor="text1" w:themeTint="BF"/>
    </w:rPr>
  </w:style>
  <w:style w:type="character" w:customStyle="1" w:styleId="CittChar">
    <w:name w:val="Citát Char"/>
    <w:basedOn w:val="Standardnpsmoodstavce"/>
    <w:link w:val="Citt"/>
    <w:uiPriority w:val="29"/>
    <w:rsid w:val="00DB6369"/>
    <w:rPr>
      <w:i/>
      <w:iCs/>
      <w:color w:val="404040" w:themeColor="text1" w:themeTint="BF"/>
    </w:rPr>
  </w:style>
  <w:style w:type="paragraph" w:styleId="Odstavecseseznamem">
    <w:name w:val="List Paragraph"/>
    <w:basedOn w:val="Normln"/>
    <w:uiPriority w:val="34"/>
    <w:qFormat/>
    <w:rsid w:val="00DB6369"/>
    <w:pPr>
      <w:ind w:left="720"/>
      <w:contextualSpacing/>
    </w:pPr>
  </w:style>
  <w:style w:type="character" w:styleId="Zdraznnintenzivn">
    <w:name w:val="Intense Emphasis"/>
    <w:basedOn w:val="Standardnpsmoodstavce"/>
    <w:uiPriority w:val="21"/>
    <w:qFormat/>
    <w:rsid w:val="00DB6369"/>
    <w:rPr>
      <w:i/>
      <w:iCs/>
      <w:color w:val="0F4761" w:themeColor="accent1" w:themeShade="BF"/>
    </w:rPr>
  </w:style>
  <w:style w:type="paragraph" w:styleId="Vrazncitt">
    <w:name w:val="Intense Quote"/>
    <w:basedOn w:val="Normln"/>
    <w:next w:val="Normln"/>
    <w:link w:val="VrazncittChar"/>
    <w:uiPriority w:val="30"/>
    <w:qFormat/>
    <w:rsid w:val="00DB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DB6369"/>
    <w:rPr>
      <w:i/>
      <w:iCs/>
      <w:color w:val="0F4761" w:themeColor="accent1" w:themeShade="BF"/>
    </w:rPr>
  </w:style>
  <w:style w:type="character" w:styleId="Odkazintenzivn">
    <w:name w:val="Intense Reference"/>
    <w:basedOn w:val="Standardnpsmoodstavce"/>
    <w:uiPriority w:val="32"/>
    <w:qFormat/>
    <w:rsid w:val="00DB63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252812">
      <w:bodyDiv w:val="1"/>
      <w:marLeft w:val="0"/>
      <w:marRight w:val="0"/>
      <w:marTop w:val="0"/>
      <w:marBottom w:val="0"/>
      <w:divBdr>
        <w:top w:val="none" w:sz="0" w:space="0" w:color="auto"/>
        <w:left w:val="none" w:sz="0" w:space="0" w:color="auto"/>
        <w:bottom w:val="none" w:sz="0" w:space="0" w:color="auto"/>
        <w:right w:val="none" w:sz="0" w:space="0" w:color="auto"/>
      </w:divBdr>
      <w:divsChild>
        <w:div w:id="96295589">
          <w:marLeft w:val="0"/>
          <w:marRight w:val="0"/>
          <w:marTop w:val="0"/>
          <w:marBottom w:val="0"/>
          <w:divBdr>
            <w:top w:val="none" w:sz="0" w:space="0" w:color="auto"/>
            <w:left w:val="none" w:sz="0" w:space="0" w:color="auto"/>
            <w:bottom w:val="none" w:sz="0" w:space="0" w:color="auto"/>
            <w:right w:val="none" w:sz="0" w:space="0" w:color="auto"/>
          </w:divBdr>
          <w:divsChild>
            <w:div w:id="1763600162">
              <w:marLeft w:val="0"/>
              <w:marRight w:val="0"/>
              <w:marTop w:val="0"/>
              <w:marBottom w:val="0"/>
              <w:divBdr>
                <w:top w:val="none" w:sz="0" w:space="0" w:color="auto"/>
                <w:left w:val="none" w:sz="0" w:space="0" w:color="auto"/>
                <w:bottom w:val="none" w:sz="0" w:space="0" w:color="auto"/>
                <w:right w:val="none" w:sz="0" w:space="0" w:color="auto"/>
              </w:divBdr>
              <w:divsChild>
                <w:div w:id="1773747480">
                  <w:marLeft w:val="0"/>
                  <w:marRight w:val="0"/>
                  <w:marTop w:val="0"/>
                  <w:marBottom w:val="0"/>
                  <w:divBdr>
                    <w:top w:val="none" w:sz="0" w:space="0" w:color="auto"/>
                    <w:left w:val="none" w:sz="0" w:space="0" w:color="auto"/>
                    <w:bottom w:val="none" w:sz="0" w:space="0" w:color="auto"/>
                    <w:right w:val="none" w:sz="0" w:space="0" w:color="auto"/>
                  </w:divBdr>
                  <w:divsChild>
                    <w:div w:id="2092501496">
                      <w:marLeft w:val="0"/>
                      <w:marRight w:val="0"/>
                      <w:marTop w:val="0"/>
                      <w:marBottom w:val="0"/>
                      <w:divBdr>
                        <w:top w:val="none" w:sz="0" w:space="0" w:color="auto"/>
                        <w:left w:val="none" w:sz="0" w:space="0" w:color="auto"/>
                        <w:bottom w:val="none" w:sz="0" w:space="0" w:color="auto"/>
                        <w:right w:val="none" w:sz="0" w:space="0" w:color="auto"/>
                      </w:divBdr>
                      <w:divsChild>
                        <w:div w:id="210577981">
                          <w:marLeft w:val="0"/>
                          <w:marRight w:val="0"/>
                          <w:marTop w:val="0"/>
                          <w:marBottom w:val="0"/>
                          <w:divBdr>
                            <w:top w:val="none" w:sz="0" w:space="0" w:color="auto"/>
                            <w:left w:val="none" w:sz="0" w:space="0" w:color="auto"/>
                            <w:bottom w:val="none" w:sz="0" w:space="0" w:color="auto"/>
                            <w:right w:val="none" w:sz="0" w:space="0" w:color="auto"/>
                          </w:divBdr>
                          <w:divsChild>
                            <w:div w:id="1943876145">
                              <w:marLeft w:val="0"/>
                              <w:marRight w:val="0"/>
                              <w:marTop w:val="0"/>
                              <w:marBottom w:val="0"/>
                              <w:divBdr>
                                <w:top w:val="none" w:sz="0" w:space="0" w:color="auto"/>
                                <w:left w:val="none" w:sz="0" w:space="0" w:color="auto"/>
                                <w:bottom w:val="none" w:sz="0" w:space="0" w:color="auto"/>
                                <w:right w:val="none" w:sz="0" w:space="0" w:color="auto"/>
                              </w:divBdr>
                              <w:divsChild>
                                <w:div w:id="1104377991">
                                  <w:marLeft w:val="0"/>
                                  <w:marRight w:val="0"/>
                                  <w:marTop w:val="0"/>
                                  <w:marBottom w:val="0"/>
                                  <w:divBdr>
                                    <w:top w:val="none" w:sz="0" w:space="0" w:color="auto"/>
                                    <w:left w:val="none" w:sz="0" w:space="0" w:color="auto"/>
                                    <w:bottom w:val="none" w:sz="0" w:space="0" w:color="auto"/>
                                    <w:right w:val="none" w:sz="0" w:space="0" w:color="auto"/>
                                  </w:divBdr>
                                  <w:divsChild>
                                    <w:div w:id="935789059">
                                      <w:marLeft w:val="0"/>
                                      <w:marRight w:val="0"/>
                                      <w:marTop w:val="0"/>
                                      <w:marBottom w:val="0"/>
                                      <w:divBdr>
                                        <w:top w:val="none" w:sz="0" w:space="0" w:color="auto"/>
                                        <w:left w:val="none" w:sz="0" w:space="0" w:color="auto"/>
                                        <w:bottom w:val="none" w:sz="0" w:space="0" w:color="auto"/>
                                        <w:right w:val="none" w:sz="0" w:space="0" w:color="auto"/>
                                      </w:divBdr>
                                      <w:divsChild>
                                        <w:div w:id="549851919">
                                          <w:marLeft w:val="0"/>
                                          <w:marRight w:val="0"/>
                                          <w:marTop w:val="0"/>
                                          <w:marBottom w:val="0"/>
                                          <w:divBdr>
                                            <w:top w:val="none" w:sz="0" w:space="0" w:color="auto"/>
                                            <w:left w:val="none" w:sz="0" w:space="0" w:color="auto"/>
                                            <w:bottom w:val="none" w:sz="0" w:space="0" w:color="auto"/>
                                            <w:right w:val="none" w:sz="0" w:space="0" w:color="auto"/>
                                          </w:divBdr>
                                          <w:divsChild>
                                            <w:div w:id="160191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7671260">
              <w:marLeft w:val="0"/>
              <w:marRight w:val="0"/>
              <w:marTop w:val="0"/>
              <w:marBottom w:val="0"/>
              <w:divBdr>
                <w:top w:val="none" w:sz="0" w:space="0" w:color="auto"/>
                <w:left w:val="none" w:sz="0" w:space="0" w:color="auto"/>
                <w:bottom w:val="none" w:sz="0" w:space="0" w:color="auto"/>
                <w:right w:val="none" w:sz="0" w:space="0" w:color="auto"/>
              </w:divBdr>
              <w:divsChild>
                <w:div w:id="1438677108">
                  <w:marLeft w:val="0"/>
                  <w:marRight w:val="0"/>
                  <w:marTop w:val="0"/>
                  <w:marBottom w:val="0"/>
                  <w:divBdr>
                    <w:top w:val="none" w:sz="0" w:space="0" w:color="auto"/>
                    <w:left w:val="none" w:sz="0" w:space="0" w:color="auto"/>
                    <w:bottom w:val="none" w:sz="0" w:space="0" w:color="auto"/>
                    <w:right w:val="none" w:sz="0" w:space="0" w:color="auto"/>
                  </w:divBdr>
                  <w:divsChild>
                    <w:div w:id="1781872349">
                      <w:marLeft w:val="0"/>
                      <w:marRight w:val="0"/>
                      <w:marTop w:val="0"/>
                      <w:marBottom w:val="0"/>
                      <w:divBdr>
                        <w:top w:val="none" w:sz="0" w:space="0" w:color="auto"/>
                        <w:left w:val="none" w:sz="0" w:space="0" w:color="auto"/>
                        <w:bottom w:val="none" w:sz="0" w:space="0" w:color="auto"/>
                        <w:right w:val="none" w:sz="0" w:space="0" w:color="auto"/>
                      </w:divBdr>
                      <w:divsChild>
                        <w:div w:id="1405369448">
                          <w:marLeft w:val="0"/>
                          <w:marRight w:val="0"/>
                          <w:marTop w:val="0"/>
                          <w:marBottom w:val="0"/>
                          <w:divBdr>
                            <w:top w:val="none" w:sz="0" w:space="0" w:color="auto"/>
                            <w:left w:val="none" w:sz="0" w:space="0" w:color="auto"/>
                            <w:bottom w:val="none" w:sz="0" w:space="0" w:color="auto"/>
                            <w:right w:val="none" w:sz="0" w:space="0" w:color="auto"/>
                          </w:divBdr>
                          <w:divsChild>
                            <w:div w:id="1067722447">
                              <w:marLeft w:val="0"/>
                              <w:marRight w:val="0"/>
                              <w:marTop w:val="0"/>
                              <w:marBottom w:val="0"/>
                              <w:divBdr>
                                <w:top w:val="none" w:sz="0" w:space="0" w:color="auto"/>
                                <w:left w:val="none" w:sz="0" w:space="0" w:color="auto"/>
                                <w:bottom w:val="none" w:sz="0" w:space="0" w:color="auto"/>
                                <w:right w:val="none" w:sz="0" w:space="0" w:color="auto"/>
                              </w:divBdr>
                              <w:divsChild>
                                <w:div w:id="603422147">
                                  <w:marLeft w:val="0"/>
                                  <w:marRight w:val="0"/>
                                  <w:marTop w:val="0"/>
                                  <w:marBottom w:val="0"/>
                                  <w:divBdr>
                                    <w:top w:val="none" w:sz="0" w:space="0" w:color="auto"/>
                                    <w:left w:val="none" w:sz="0" w:space="0" w:color="auto"/>
                                    <w:bottom w:val="none" w:sz="0" w:space="0" w:color="auto"/>
                                    <w:right w:val="none" w:sz="0" w:space="0" w:color="auto"/>
                                  </w:divBdr>
                                  <w:divsChild>
                                    <w:div w:id="950085246">
                                      <w:marLeft w:val="0"/>
                                      <w:marRight w:val="0"/>
                                      <w:marTop w:val="0"/>
                                      <w:marBottom w:val="0"/>
                                      <w:divBdr>
                                        <w:top w:val="none" w:sz="0" w:space="0" w:color="auto"/>
                                        <w:left w:val="none" w:sz="0" w:space="0" w:color="auto"/>
                                        <w:bottom w:val="none" w:sz="0" w:space="0" w:color="auto"/>
                                        <w:right w:val="none" w:sz="0" w:space="0" w:color="auto"/>
                                      </w:divBdr>
                                    </w:div>
                                    <w:div w:id="120868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34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1154</Words>
  <Characters>6810</Characters>
  <Application>Microsoft Office Word</Application>
  <DocSecurity>0</DocSecurity>
  <Lines>56</Lines>
  <Paragraphs>15</Paragraphs>
  <ScaleCrop>false</ScaleCrop>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Jolana Janáková</dc:creator>
  <cp:keywords/>
  <dc:description/>
  <cp:lastModifiedBy>Jolana Janáková</cp:lastModifiedBy>
  <cp:revision>3</cp:revision>
  <dcterms:created xsi:type="dcterms:W3CDTF">2024-01-26T22:14:00Z</dcterms:created>
  <dcterms:modified xsi:type="dcterms:W3CDTF">2024-01-26T22:20:00Z</dcterms:modified>
</cp:coreProperties>
</file>